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BA" w:rsidRPr="001A0A49" w:rsidRDefault="00B522BA" w:rsidP="00B522BA">
      <w:pPr>
        <w:pStyle w:val="a3"/>
        <w:rPr>
          <w:sz w:val="36"/>
          <w:szCs w:val="36"/>
        </w:rPr>
      </w:pPr>
      <w:bookmarkStart w:id="0" w:name="_GoBack"/>
      <w:bookmarkEnd w:id="0"/>
      <w:r w:rsidRPr="001A0A49">
        <w:rPr>
          <w:rFonts w:hint="eastAsia"/>
          <w:sz w:val="36"/>
          <w:szCs w:val="36"/>
        </w:rPr>
        <w:t>职工夜校养生班</w:t>
      </w:r>
      <w:r w:rsidRPr="00E70F43">
        <w:rPr>
          <w:rFonts w:hint="eastAsia"/>
          <w:sz w:val="36"/>
          <w:szCs w:val="36"/>
        </w:rPr>
        <w:t>课程安排</w:t>
      </w:r>
    </w:p>
    <w:p w:rsidR="00B522BA" w:rsidRDefault="00B522BA" w:rsidP="00B522BA"/>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276"/>
        <w:gridCol w:w="1134"/>
        <w:gridCol w:w="2098"/>
        <w:gridCol w:w="9355"/>
      </w:tblGrid>
      <w:tr w:rsidR="00B522BA" w:rsidRPr="00E70F43" w:rsidTr="00B81A51">
        <w:trPr>
          <w:trHeight w:val="561"/>
        </w:trPr>
        <w:tc>
          <w:tcPr>
            <w:tcW w:w="880" w:type="dxa"/>
            <w:shd w:val="clear" w:color="auto" w:fill="auto"/>
            <w:vAlign w:val="center"/>
          </w:tcPr>
          <w:p w:rsidR="00B522BA" w:rsidRPr="00E70F43" w:rsidRDefault="00B522BA" w:rsidP="00B81A51">
            <w:pPr>
              <w:jc w:val="center"/>
              <w:rPr>
                <w:b/>
                <w:bCs/>
                <w:sz w:val="24"/>
                <w:szCs w:val="24"/>
              </w:rPr>
            </w:pPr>
            <w:r w:rsidRPr="00E70F43">
              <w:rPr>
                <w:rFonts w:hint="eastAsia"/>
                <w:b/>
                <w:bCs/>
                <w:sz w:val="24"/>
                <w:szCs w:val="24"/>
              </w:rPr>
              <w:t>序号</w:t>
            </w:r>
          </w:p>
        </w:tc>
        <w:tc>
          <w:tcPr>
            <w:tcW w:w="1276" w:type="dxa"/>
            <w:shd w:val="clear" w:color="auto" w:fill="auto"/>
            <w:vAlign w:val="center"/>
          </w:tcPr>
          <w:p w:rsidR="00B522BA" w:rsidRPr="00E70F43" w:rsidRDefault="00B522BA" w:rsidP="00B81A51">
            <w:pPr>
              <w:jc w:val="center"/>
              <w:rPr>
                <w:b/>
                <w:bCs/>
                <w:sz w:val="24"/>
                <w:szCs w:val="24"/>
              </w:rPr>
            </w:pPr>
            <w:r w:rsidRPr="00E70F43">
              <w:rPr>
                <w:rFonts w:hint="eastAsia"/>
                <w:b/>
                <w:bCs/>
                <w:sz w:val="24"/>
                <w:szCs w:val="24"/>
              </w:rPr>
              <w:t>姓名</w:t>
            </w:r>
          </w:p>
        </w:tc>
        <w:tc>
          <w:tcPr>
            <w:tcW w:w="1134" w:type="dxa"/>
            <w:shd w:val="clear" w:color="auto" w:fill="auto"/>
            <w:vAlign w:val="center"/>
          </w:tcPr>
          <w:p w:rsidR="00B522BA" w:rsidRPr="00E70F43" w:rsidRDefault="00B522BA" w:rsidP="00B81A51">
            <w:pPr>
              <w:jc w:val="center"/>
              <w:rPr>
                <w:b/>
                <w:bCs/>
                <w:sz w:val="24"/>
                <w:szCs w:val="24"/>
              </w:rPr>
            </w:pPr>
            <w:r w:rsidRPr="00E70F43">
              <w:rPr>
                <w:rFonts w:hint="eastAsia"/>
                <w:b/>
                <w:bCs/>
                <w:sz w:val="24"/>
                <w:szCs w:val="24"/>
              </w:rPr>
              <w:t>职称</w:t>
            </w:r>
          </w:p>
        </w:tc>
        <w:tc>
          <w:tcPr>
            <w:tcW w:w="2098" w:type="dxa"/>
            <w:shd w:val="clear" w:color="auto" w:fill="auto"/>
            <w:vAlign w:val="center"/>
          </w:tcPr>
          <w:p w:rsidR="00B522BA" w:rsidRPr="00E70F43" w:rsidRDefault="00B522BA" w:rsidP="00B81A51">
            <w:pPr>
              <w:jc w:val="center"/>
              <w:rPr>
                <w:b/>
                <w:bCs/>
                <w:sz w:val="24"/>
                <w:szCs w:val="24"/>
              </w:rPr>
            </w:pPr>
            <w:r w:rsidRPr="00E70F43">
              <w:rPr>
                <w:rFonts w:hint="eastAsia"/>
                <w:b/>
                <w:bCs/>
                <w:sz w:val="24"/>
                <w:szCs w:val="24"/>
              </w:rPr>
              <w:t>课程名称</w:t>
            </w:r>
          </w:p>
        </w:tc>
        <w:tc>
          <w:tcPr>
            <w:tcW w:w="9355" w:type="dxa"/>
            <w:shd w:val="clear" w:color="auto" w:fill="auto"/>
            <w:vAlign w:val="center"/>
          </w:tcPr>
          <w:p w:rsidR="00B522BA" w:rsidRPr="00E70F43" w:rsidRDefault="00B522BA" w:rsidP="00B81A51">
            <w:pPr>
              <w:jc w:val="center"/>
              <w:rPr>
                <w:b/>
                <w:bCs/>
                <w:sz w:val="24"/>
                <w:szCs w:val="24"/>
              </w:rPr>
            </w:pPr>
            <w:r w:rsidRPr="00E70F43">
              <w:rPr>
                <w:rFonts w:hint="eastAsia"/>
                <w:b/>
                <w:bCs/>
                <w:sz w:val="24"/>
                <w:szCs w:val="24"/>
              </w:rPr>
              <w:t>研究领域及成果</w:t>
            </w:r>
          </w:p>
        </w:tc>
      </w:tr>
      <w:tr w:rsidR="00B522BA" w:rsidRPr="00E70F43" w:rsidTr="00B81A51">
        <w:tc>
          <w:tcPr>
            <w:tcW w:w="880" w:type="dxa"/>
            <w:shd w:val="clear" w:color="auto" w:fill="auto"/>
            <w:vAlign w:val="center"/>
          </w:tcPr>
          <w:p w:rsidR="00B522BA" w:rsidRPr="00E70F43" w:rsidRDefault="00B522BA" w:rsidP="00B81A51">
            <w:pPr>
              <w:widowControl/>
              <w:jc w:val="center"/>
              <w:rPr>
                <w:sz w:val="24"/>
                <w:szCs w:val="24"/>
              </w:rPr>
            </w:pPr>
            <w:r w:rsidRPr="00E70F43">
              <w:rPr>
                <w:rFonts w:hint="eastAsia"/>
                <w:sz w:val="24"/>
                <w:szCs w:val="24"/>
              </w:rPr>
              <w:t>1</w:t>
            </w:r>
          </w:p>
        </w:tc>
        <w:tc>
          <w:tcPr>
            <w:tcW w:w="1276"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杨宗保</w:t>
            </w:r>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副教授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轻松腹疗祛百病</w:t>
            </w:r>
          </w:p>
        </w:tc>
        <w:tc>
          <w:tcPr>
            <w:tcW w:w="9355" w:type="dxa"/>
            <w:shd w:val="clear" w:color="auto" w:fill="auto"/>
            <w:vAlign w:val="center"/>
          </w:tcPr>
          <w:p w:rsidR="00B522BA" w:rsidRPr="00E70F43" w:rsidRDefault="00B522BA" w:rsidP="00B81A51">
            <w:pPr>
              <w:spacing w:beforeLines="50" w:before="156"/>
              <w:ind w:firstLineChars="200" w:firstLine="480"/>
              <w:rPr>
                <w:sz w:val="24"/>
                <w:szCs w:val="24"/>
              </w:rPr>
            </w:pPr>
            <w:r w:rsidRPr="00E70F43">
              <w:rPr>
                <w:rFonts w:hint="eastAsia"/>
                <w:color w:val="000000"/>
                <w:sz w:val="24"/>
                <w:szCs w:val="24"/>
              </w:rPr>
              <w:t>从事针灸推拿科研、教学和临床工作</w:t>
            </w:r>
            <w:r w:rsidRPr="00E70F43">
              <w:rPr>
                <w:rFonts w:hint="eastAsia"/>
                <w:color w:val="000000"/>
                <w:sz w:val="24"/>
                <w:szCs w:val="24"/>
              </w:rPr>
              <w:t>16</w:t>
            </w:r>
            <w:r w:rsidRPr="00E70F43">
              <w:rPr>
                <w:rFonts w:hint="eastAsia"/>
                <w:color w:val="000000"/>
                <w:sz w:val="24"/>
                <w:szCs w:val="24"/>
              </w:rPr>
              <w:t>年，主要从事针灸对应激性胃溃疡和胃癌癌前病变的</w:t>
            </w:r>
            <w:proofErr w:type="gramStart"/>
            <w:r w:rsidRPr="00E70F43">
              <w:rPr>
                <w:rFonts w:hint="eastAsia"/>
                <w:color w:val="000000"/>
                <w:sz w:val="24"/>
                <w:szCs w:val="24"/>
              </w:rPr>
              <w:t>预保护</w:t>
            </w:r>
            <w:proofErr w:type="gramEnd"/>
            <w:r w:rsidRPr="00E70F43">
              <w:rPr>
                <w:rFonts w:hint="eastAsia"/>
                <w:color w:val="000000"/>
                <w:sz w:val="24"/>
                <w:szCs w:val="24"/>
              </w:rPr>
              <w:t>作用及其机制研究。</w:t>
            </w:r>
            <w:r w:rsidRPr="00E70F43">
              <w:rPr>
                <w:rFonts w:hint="eastAsia"/>
                <w:bCs/>
                <w:color w:val="000000"/>
                <w:sz w:val="24"/>
                <w:szCs w:val="24"/>
              </w:rPr>
              <w:t>主持国家自然科学基金</w:t>
            </w:r>
            <w:r w:rsidRPr="00E70F43">
              <w:rPr>
                <w:rFonts w:hint="eastAsia"/>
                <w:bCs/>
                <w:color w:val="000000"/>
                <w:sz w:val="24"/>
                <w:szCs w:val="24"/>
              </w:rPr>
              <w:t>2</w:t>
            </w:r>
            <w:r w:rsidRPr="00E70F43">
              <w:rPr>
                <w:rFonts w:hint="eastAsia"/>
                <w:bCs/>
                <w:color w:val="000000"/>
                <w:sz w:val="24"/>
                <w:szCs w:val="24"/>
              </w:rPr>
              <w:t>项、省厅级科研项目</w:t>
            </w:r>
            <w:r w:rsidRPr="00E70F43">
              <w:rPr>
                <w:rFonts w:hint="eastAsia"/>
                <w:bCs/>
                <w:color w:val="000000"/>
                <w:sz w:val="24"/>
                <w:szCs w:val="24"/>
              </w:rPr>
              <w:t>5</w:t>
            </w:r>
            <w:r w:rsidRPr="00E70F43">
              <w:rPr>
                <w:rFonts w:hint="eastAsia"/>
                <w:bCs/>
                <w:color w:val="000000"/>
                <w:sz w:val="24"/>
                <w:szCs w:val="24"/>
              </w:rPr>
              <w:t>项、横向科研课题</w:t>
            </w:r>
            <w:r w:rsidRPr="00E70F43">
              <w:rPr>
                <w:rFonts w:hint="eastAsia"/>
                <w:bCs/>
                <w:color w:val="000000"/>
                <w:sz w:val="24"/>
                <w:szCs w:val="24"/>
              </w:rPr>
              <w:t>1</w:t>
            </w:r>
            <w:r w:rsidRPr="00E70F43">
              <w:rPr>
                <w:rFonts w:hint="eastAsia"/>
                <w:bCs/>
                <w:color w:val="000000"/>
                <w:sz w:val="24"/>
                <w:szCs w:val="24"/>
              </w:rPr>
              <w:t>项，参与国家</w:t>
            </w:r>
            <w:r w:rsidRPr="00E70F43">
              <w:rPr>
                <w:rFonts w:hint="eastAsia"/>
                <w:bCs/>
                <w:color w:val="000000"/>
                <w:sz w:val="24"/>
                <w:szCs w:val="24"/>
              </w:rPr>
              <w:t>973</w:t>
            </w:r>
            <w:r w:rsidRPr="00E70F43">
              <w:rPr>
                <w:rFonts w:hint="eastAsia"/>
                <w:bCs/>
                <w:color w:val="000000"/>
                <w:sz w:val="24"/>
                <w:szCs w:val="24"/>
              </w:rPr>
              <w:t>计划</w:t>
            </w:r>
            <w:r w:rsidRPr="00E70F43">
              <w:rPr>
                <w:rFonts w:hint="eastAsia"/>
                <w:bCs/>
                <w:color w:val="000000"/>
                <w:sz w:val="24"/>
                <w:szCs w:val="24"/>
              </w:rPr>
              <w:t>1</w:t>
            </w:r>
            <w:r w:rsidRPr="00E70F43">
              <w:rPr>
                <w:rFonts w:hint="eastAsia"/>
                <w:bCs/>
                <w:color w:val="000000"/>
                <w:sz w:val="24"/>
                <w:szCs w:val="24"/>
              </w:rPr>
              <w:t>项、国家自然科学基金</w:t>
            </w:r>
            <w:r w:rsidRPr="00E70F43">
              <w:rPr>
                <w:rFonts w:hint="eastAsia"/>
                <w:bCs/>
                <w:color w:val="000000"/>
                <w:sz w:val="24"/>
                <w:szCs w:val="24"/>
              </w:rPr>
              <w:t>2</w:t>
            </w:r>
            <w:r w:rsidRPr="00E70F43">
              <w:rPr>
                <w:rFonts w:hint="eastAsia"/>
                <w:bCs/>
                <w:color w:val="000000"/>
                <w:sz w:val="24"/>
                <w:szCs w:val="24"/>
              </w:rPr>
              <w:t>项，以第一作者（含通讯作者）</w:t>
            </w:r>
            <w:r w:rsidRPr="00E70F43">
              <w:rPr>
                <w:rFonts w:hint="eastAsia"/>
                <w:color w:val="000000"/>
                <w:sz w:val="24"/>
                <w:szCs w:val="24"/>
              </w:rPr>
              <w:t>发表学术论文</w:t>
            </w:r>
            <w:r w:rsidRPr="00E70F43">
              <w:rPr>
                <w:rFonts w:hint="eastAsia"/>
                <w:color w:val="000000"/>
                <w:sz w:val="24"/>
                <w:szCs w:val="24"/>
              </w:rPr>
              <w:t>25</w:t>
            </w:r>
            <w:r w:rsidRPr="00E70F43">
              <w:rPr>
                <w:rFonts w:hint="eastAsia"/>
                <w:color w:val="000000"/>
                <w:sz w:val="24"/>
                <w:szCs w:val="24"/>
              </w:rPr>
              <w:t>篇，其中</w:t>
            </w:r>
            <w:r w:rsidRPr="00E70F43">
              <w:rPr>
                <w:rFonts w:hint="eastAsia"/>
                <w:color w:val="000000"/>
                <w:sz w:val="24"/>
                <w:szCs w:val="24"/>
              </w:rPr>
              <w:t>SCI</w:t>
            </w:r>
            <w:r w:rsidRPr="00E70F43">
              <w:rPr>
                <w:rFonts w:hint="eastAsia"/>
                <w:color w:val="000000"/>
                <w:sz w:val="24"/>
                <w:szCs w:val="24"/>
              </w:rPr>
              <w:t>收录论文</w:t>
            </w:r>
            <w:r w:rsidRPr="00E70F43">
              <w:rPr>
                <w:rFonts w:hint="eastAsia"/>
                <w:color w:val="000000"/>
                <w:sz w:val="24"/>
                <w:szCs w:val="24"/>
              </w:rPr>
              <w:t>1</w:t>
            </w:r>
            <w:r w:rsidRPr="00E70F43">
              <w:rPr>
                <w:rFonts w:hint="eastAsia"/>
                <w:color w:val="000000"/>
                <w:sz w:val="24"/>
                <w:szCs w:val="24"/>
              </w:rPr>
              <w:t>篇，主编学术著作</w:t>
            </w:r>
            <w:r w:rsidRPr="00E70F43">
              <w:rPr>
                <w:rFonts w:hint="eastAsia"/>
                <w:color w:val="000000"/>
                <w:sz w:val="24"/>
                <w:szCs w:val="24"/>
              </w:rPr>
              <w:t>2</w:t>
            </w:r>
            <w:r w:rsidRPr="00E70F43">
              <w:rPr>
                <w:rFonts w:hint="eastAsia"/>
                <w:color w:val="000000"/>
                <w:sz w:val="24"/>
                <w:szCs w:val="24"/>
              </w:rPr>
              <w:t>部，参</w:t>
            </w:r>
            <w:proofErr w:type="gramStart"/>
            <w:r w:rsidRPr="00E70F43">
              <w:rPr>
                <w:rFonts w:hint="eastAsia"/>
                <w:color w:val="000000"/>
                <w:sz w:val="24"/>
                <w:szCs w:val="24"/>
              </w:rPr>
              <w:t>编国家</w:t>
            </w:r>
            <w:proofErr w:type="gramEnd"/>
            <w:r w:rsidRPr="00E70F43">
              <w:rPr>
                <w:rFonts w:hint="eastAsia"/>
                <w:color w:val="000000"/>
                <w:sz w:val="24"/>
                <w:szCs w:val="24"/>
              </w:rPr>
              <w:t>规划和创新教材</w:t>
            </w:r>
            <w:r w:rsidRPr="00E70F43">
              <w:rPr>
                <w:rFonts w:hint="eastAsia"/>
                <w:color w:val="000000"/>
                <w:sz w:val="24"/>
                <w:szCs w:val="24"/>
              </w:rPr>
              <w:t>4</w:t>
            </w:r>
            <w:r w:rsidRPr="00E70F43">
              <w:rPr>
                <w:rFonts w:hint="eastAsia"/>
                <w:color w:val="000000"/>
                <w:sz w:val="24"/>
                <w:szCs w:val="24"/>
              </w:rPr>
              <w:t>部。</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2</w:t>
            </w:r>
          </w:p>
        </w:tc>
        <w:tc>
          <w:tcPr>
            <w:tcW w:w="1276"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陈少东</w:t>
            </w:r>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体质养生</w:t>
            </w:r>
          </w:p>
        </w:tc>
        <w:tc>
          <w:tcPr>
            <w:tcW w:w="9355" w:type="dxa"/>
            <w:shd w:val="clear" w:color="auto" w:fill="auto"/>
            <w:vAlign w:val="center"/>
          </w:tcPr>
          <w:p w:rsidR="00B522BA" w:rsidRDefault="00B522BA" w:rsidP="00B81A51">
            <w:pPr>
              <w:spacing w:beforeLines="50" w:before="156"/>
              <w:ind w:firstLineChars="200" w:firstLine="480"/>
              <w:rPr>
                <w:color w:val="000000"/>
                <w:sz w:val="24"/>
                <w:szCs w:val="24"/>
              </w:rPr>
            </w:pPr>
            <w:r w:rsidRPr="00E70F43">
              <w:rPr>
                <w:rFonts w:hint="eastAsia"/>
                <w:color w:val="000000"/>
                <w:sz w:val="24"/>
                <w:szCs w:val="24"/>
              </w:rPr>
              <w:t>主要从事中西医结合基础与临床研究工作，</w:t>
            </w:r>
            <w:r w:rsidRPr="00E70F43">
              <w:rPr>
                <w:color w:val="000000"/>
                <w:sz w:val="24"/>
                <w:szCs w:val="24"/>
              </w:rPr>
              <w:t>承担</w:t>
            </w:r>
            <w:r w:rsidRPr="00E70F43">
              <w:rPr>
                <w:rFonts w:hint="eastAsia"/>
                <w:color w:val="000000"/>
                <w:sz w:val="24"/>
                <w:szCs w:val="24"/>
              </w:rPr>
              <w:t>国家自然科学基金、福建省自然科学基金、</w:t>
            </w:r>
            <w:r w:rsidRPr="00E70F43">
              <w:rPr>
                <w:color w:val="000000"/>
                <w:sz w:val="24"/>
                <w:szCs w:val="24"/>
              </w:rPr>
              <w:t>厦门市</w:t>
            </w:r>
            <w:r w:rsidRPr="00E70F43">
              <w:rPr>
                <w:rFonts w:hint="eastAsia"/>
                <w:color w:val="000000"/>
                <w:sz w:val="24"/>
                <w:szCs w:val="24"/>
              </w:rPr>
              <w:t>重大科技计划项目子课题一级横向课题等多项研究项目，在《</w:t>
            </w:r>
            <w:r w:rsidRPr="00E70F43">
              <w:rPr>
                <w:color w:val="000000"/>
                <w:sz w:val="24"/>
                <w:szCs w:val="24"/>
              </w:rPr>
              <w:t>中国中西医结合杂志</w:t>
            </w:r>
            <w:r w:rsidRPr="00E70F43">
              <w:rPr>
                <w:rFonts w:hint="eastAsia"/>
                <w:color w:val="000000"/>
                <w:sz w:val="24"/>
                <w:szCs w:val="24"/>
              </w:rPr>
              <w:t>》</w:t>
            </w:r>
            <w:r w:rsidRPr="00E70F43">
              <w:rPr>
                <w:color w:val="000000"/>
                <w:sz w:val="24"/>
                <w:szCs w:val="24"/>
              </w:rPr>
              <w:t>、《中华中医药杂志</w:t>
            </w:r>
            <w:r w:rsidRPr="00E70F43">
              <w:rPr>
                <w:rFonts w:hint="eastAsia"/>
                <w:color w:val="000000"/>
                <w:sz w:val="24"/>
                <w:szCs w:val="24"/>
              </w:rPr>
              <w:t>》</w:t>
            </w:r>
            <w:r w:rsidRPr="00E70F43">
              <w:rPr>
                <w:color w:val="000000"/>
                <w:sz w:val="24"/>
                <w:szCs w:val="24"/>
              </w:rPr>
              <w:t>、《中国中药杂志</w:t>
            </w:r>
            <w:r w:rsidRPr="00E70F43">
              <w:rPr>
                <w:rFonts w:hint="eastAsia"/>
                <w:color w:val="000000"/>
                <w:sz w:val="24"/>
                <w:szCs w:val="24"/>
              </w:rPr>
              <w:t>》</w:t>
            </w:r>
            <w:r w:rsidRPr="00E70F43">
              <w:rPr>
                <w:color w:val="000000"/>
                <w:sz w:val="24"/>
                <w:szCs w:val="24"/>
              </w:rPr>
              <w:t>、《中医杂志</w:t>
            </w:r>
            <w:r w:rsidRPr="00E70F43">
              <w:rPr>
                <w:rFonts w:hint="eastAsia"/>
                <w:color w:val="000000"/>
                <w:sz w:val="24"/>
                <w:szCs w:val="24"/>
              </w:rPr>
              <w:t>》</w:t>
            </w:r>
            <w:r w:rsidRPr="00E70F43">
              <w:rPr>
                <w:color w:val="000000"/>
                <w:sz w:val="24"/>
                <w:szCs w:val="24"/>
              </w:rPr>
              <w:t>等</w:t>
            </w:r>
            <w:r w:rsidRPr="00E70F43">
              <w:rPr>
                <w:rFonts w:hint="eastAsia"/>
                <w:color w:val="000000"/>
                <w:sz w:val="24"/>
                <w:szCs w:val="24"/>
              </w:rPr>
              <w:t>核心期刊发表专业论文</w:t>
            </w:r>
            <w:r w:rsidRPr="00E70F43">
              <w:rPr>
                <w:rFonts w:hint="eastAsia"/>
                <w:color w:val="000000"/>
                <w:sz w:val="24"/>
                <w:szCs w:val="24"/>
              </w:rPr>
              <w:t>70</w:t>
            </w:r>
            <w:r w:rsidRPr="00E70F43">
              <w:rPr>
                <w:rFonts w:hint="eastAsia"/>
                <w:color w:val="000000"/>
                <w:sz w:val="24"/>
                <w:szCs w:val="24"/>
              </w:rPr>
              <w:t>余篇（其中</w:t>
            </w:r>
            <w:r w:rsidRPr="00E70F43">
              <w:rPr>
                <w:rFonts w:hint="eastAsia"/>
                <w:color w:val="000000"/>
                <w:sz w:val="24"/>
                <w:szCs w:val="24"/>
              </w:rPr>
              <w:t>SCI</w:t>
            </w:r>
            <w:r w:rsidRPr="00E70F43">
              <w:rPr>
                <w:rFonts w:hint="eastAsia"/>
                <w:color w:val="000000"/>
                <w:sz w:val="24"/>
                <w:szCs w:val="24"/>
              </w:rPr>
              <w:t>收录</w:t>
            </w:r>
            <w:r w:rsidRPr="00E70F43">
              <w:rPr>
                <w:rFonts w:hint="eastAsia"/>
                <w:color w:val="000000"/>
                <w:sz w:val="24"/>
                <w:szCs w:val="24"/>
              </w:rPr>
              <w:t>12</w:t>
            </w:r>
            <w:r w:rsidRPr="00E70F43">
              <w:rPr>
                <w:rFonts w:hint="eastAsia"/>
                <w:color w:val="000000"/>
                <w:sz w:val="24"/>
                <w:szCs w:val="24"/>
              </w:rPr>
              <w:t>篇</w:t>
            </w:r>
            <w:r w:rsidRPr="00E70F43">
              <w:rPr>
                <w:color w:val="000000"/>
                <w:sz w:val="24"/>
                <w:szCs w:val="24"/>
              </w:rPr>
              <w:t>）</w:t>
            </w:r>
            <w:r w:rsidRPr="00E70F43">
              <w:rPr>
                <w:rFonts w:hint="eastAsia"/>
                <w:color w:val="000000"/>
                <w:sz w:val="24"/>
                <w:szCs w:val="24"/>
              </w:rPr>
              <w:t>，</w:t>
            </w:r>
            <w:r w:rsidRPr="00E70F43">
              <w:rPr>
                <w:color w:val="000000"/>
                <w:sz w:val="24"/>
                <w:szCs w:val="24"/>
              </w:rPr>
              <w:t>同事</w:t>
            </w:r>
            <w:r w:rsidRPr="00E70F43">
              <w:rPr>
                <w:rFonts w:hint="eastAsia"/>
                <w:color w:val="000000"/>
                <w:sz w:val="24"/>
                <w:szCs w:val="24"/>
              </w:rPr>
              <w:t>在《</w:t>
            </w:r>
            <w:r w:rsidRPr="00E70F43">
              <w:rPr>
                <w:color w:val="000000"/>
                <w:sz w:val="24"/>
                <w:szCs w:val="24"/>
              </w:rPr>
              <w:t>肝健康</w:t>
            </w:r>
            <w:r w:rsidRPr="00E70F43">
              <w:rPr>
                <w:rFonts w:hint="eastAsia"/>
                <w:color w:val="000000"/>
                <w:sz w:val="24"/>
                <w:szCs w:val="24"/>
              </w:rPr>
              <w:t>之友》等科普杂志撰写“</w:t>
            </w:r>
            <w:r w:rsidRPr="00E70F43">
              <w:rPr>
                <w:color w:val="000000"/>
                <w:sz w:val="24"/>
                <w:szCs w:val="24"/>
              </w:rPr>
              <w:t>用中医</w:t>
            </w:r>
            <w:r w:rsidRPr="00E70F43">
              <w:rPr>
                <w:rFonts w:hint="eastAsia"/>
                <w:color w:val="000000"/>
                <w:sz w:val="24"/>
                <w:szCs w:val="24"/>
              </w:rPr>
              <w:t>辩证思维知道脂肪肝体质养生脂肪肝”、“</w:t>
            </w:r>
            <w:r w:rsidRPr="00E70F43">
              <w:rPr>
                <w:color w:val="000000"/>
                <w:sz w:val="24"/>
                <w:szCs w:val="24"/>
              </w:rPr>
              <w:t>与肥胖症</w:t>
            </w:r>
            <w:r w:rsidRPr="00E70F43">
              <w:rPr>
                <w:rFonts w:hint="eastAsia"/>
                <w:color w:val="000000"/>
                <w:sz w:val="24"/>
                <w:szCs w:val="24"/>
              </w:rPr>
              <w:t>如影随形的脂肪肝”等科普文章，</w:t>
            </w:r>
            <w:r w:rsidRPr="00E70F43">
              <w:rPr>
                <w:color w:val="000000"/>
                <w:sz w:val="24"/>
                <w:szCs w:val="24"/>
              </w:rPr>
              <w:t>参编</w:t>
            </w:r>
            <w:r w:rsidRPr="00E70F43">
              <w:rPr>
                <w:rFonts w:hint="eastAsia"/>
                <w:color w:val="000000"/>
                <w:sz w:val="24"/>
                <w:szCs w:val="24"/>
              </w:rPr>
              <w:t>《</w:t>
            </w:r>
            <w:r w:rsidRPr="00E70F43">
              <w:rPr>
                <w:color w:val="000000"/>
                <w:sz w:val="24"/>
                <w:szCs w:val="24"/>
              </w:rPr>
              <w:t>观舌养生</w:t>
            </w:r>
            <w:r w:rsidRPr="00E70F43">
              <w:rPr>
                <w:rFonts w:hint="eastAsia"/>
                <w:color w:val="000000"/>
                <w:sz w:val="24"/>
                <w:szCs w:val="24"/>
              </w:rPr>
              <w:t>》</w:t>
            </w:r>
            <w:r w:rsidRPr="00E70F43">
              <w:rPr>
                <w:color w:val="000000"/>
                <w:sz w:val="24"/>
                <w:szCs w:val="24"/>
              </w:rPr>
              <w:t>、《临床</w:t>
            </w:r>
            <w:r w:rsidRPr="00E70F43">
              <w:rPr>
                <w:rFonts w:hint="eastAsia"/>
                <w:color w:val="000000"/>
                <w:sz w:val="24"/>
                <w:szCs w:val="24"/>
              </w:rPr>
              <w:t>实用舌象图谱》</w:t>
            </w:r>
            <w:r w:rsidRPr="00E70F43">
              <w:rPr>
                <w:color w:val="000000"/>
                <w:sz w:val="24"/>
                <w:szCs w:val="24"/>
              </w:rPr>
              <w:t>著作</w:t>
            </w:r>
            <w:r w:rsidRPr="00E70F43">
              <w:rPr>
                <w:rFonts w:hint="eastAsia"/>
                <w:color w:val="000000"/>
                <w:sz w:val="24"/>
                <w:szCs w:val="24"/>
              </w:rPr>
              <w:t>两部。</w:t>
            </w:r>
          </w:p>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研究领域主要设计肝病、</w:t>
            </w:r>
            <w:r w:rsidRPr="00E70F43">
              <w:rPr>
                <w:color w:val="000000"/>
                <w:sz w:val="24"/>
                <w:szCs w:val="24"/>
              </w:rPr>
              <w:t>抑郁症</w:t>
            </w:r>
            <w:r w:rsidRPr="00E70F43">
              <w:rPr>
                <w:rFonts w:hint="eastAsia"/>
                <w:color w:val="000000"/>
                <w:sz w:val="24"/>
                <w:szCs w:val="24"/>
              </w:rPr>
              <w:t>、</w:t>
            </w:r>
            <w:r w:rsidRPr="00E70F43">
              <w:rPr>
                <w:color w:val="000000"/>
                <w:sz w:val="24"/>
                <w:szCs w:val="24"/>
              </w:rPr>
              <w:t>中医养生学</w:t>
            </w:r>
            <w:r w:rsidRPr="00E70F43">
              <w:rPr>
                <w:rFonts w:hint="eastAsia"/>
                <w:color w:val="000000"/>
                <w:sz w:val="24"/>
                <w:szCs w:val="24"/>
              </w:rPr>
              <w:t>、</w:t>
            </w:r>
            <w:r w:rsidRPr="00E70F43">
              <w:rPr>
                <w:color w:val="000000"/>
                <w:sz w:val="24"/>
                <w:szCs w:val="24"/>
              </w:rPr>
              <w:t>中医诊断学</w:t>
            </w:r>
            <w:r w:rsidRPr="00E70F43">
              <w:rPr>
                <w:rFonts w:hint="eastAsia"/>
                <w:color w:val="000000"/>
                <w:sz w:val="24"/>
                <w:szCs w:val="24"/>
              </w:rPr>
              <w:t>等。</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3</w:t>
            </w:r>
          </w:p>
        </w:tc>
        <w:tc>
          <w:tcPr>
            <w:tcW w:w="1276" w:type="dxa"/>
            <w:shd w:val="clear" w:color="auto" w:fill="auto"/>
            <w:vAlign w:val="center"/>
          </w:tcPr>
          <w:p w:rsidR="00B522BA" w:rsidRPr="00E70F43" w:rsidRDefault="00B522BA" w:rsidP="00B81A51">
            <w:pPr>
              <w:jc w:val="center"/>
              <w:rPr>
                <w:sz w:val="24"/>
                <w:szCs w:val="24"/>
              </w:rPr>
            </w:pPr>
            <w:proofErr w:type="gramStart"/>
            <w:r w:rsidRPr="00E70F43">
              <w:rPr>
                <w:rFonts w:hint="eastAsia"/>
                <w:sz w:val="24"/>
                <w:szCs w:val="24"/>
              </w:rPr>
              <w:t>洪燕珠</w:t>
            </w:r>
            <w:proofErr w:type="gramEnd"/>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副教授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月经病的中医诊断与治疗</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研究针对亚健康状态的基本特征，利用四</w:t>
            </w:r>
            <w:proofErr w:type="gramStart"/>
            <w:r w:rsidRPr="00E70F43">
              <w:rPr>
                <w:rFonts w:hint="eastAsia"/>
                <w:color w:val="000000"/>
                <w:sz w:val="24"/>
                <w:szCs w:val="24"/>
              </w:rPr>
              <w:t>诊信息</w:t>
            </w:r>
            <w:proofErr w:type="gramEnd"/>
            <w:r w:rsidRPr="00E70F43">
              <w:rPr>
                <w:rFonts w:hint="eastAsia"/>
                <w:color w:val="000000"/>
                <w:sz w:val="24"/>
                <w:szCs w:val="24"/>
              </w:rPr>
              <w:t>的数字化采集分析技术、数据挖掘理论与技术，通过决策支持系统，分析亚健康状态与四诊信息、人体生理功能指标以及中医证候要素之间的内在规律与关系，探索建立系统的亚健康状态的评测方法、辨识分类指标与判断标准。将信息化技术与传统中医诊疗技术相结合，进行跨学科研究。</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4</w:t>
            </w:r>
          </w:p>
        </w:tc>
        <w:tc>
          <w:tcPr>
            <w:tcW w:w="1276" w:type="dxa"/>
            <w:shd w:val="clear" w:color="auto" w:fill="auto"/>
            <w:vAlign w:val="center"/>
          </w:tcPr>
          <w:p w:rsidR="00B522BA" w:rsidRPr="00E70F43" w:rsidRDefault="00B522BA" w:rsidP="00B81A51">
            <w:pPr>
              <w:jc w:val="center"/>
              <w:rPr>
                <w:sz w:val="24"/>
                <w:szCs w:val="24"/>
              </w:rPr>
            </w:pPr>
            <w:proofErr w:type="gramStart"/>
            <w:r w:rsidRPr="00E70F43">
              <w:rPr>
                <w:rFonts w:hint="eastAsia"/>
                <w:sz w:val="24"/>
                <w:szCs w:val="24"/>
              </w:rPr>
              <w:t>廖</w:t>
            </w:r>
            <w:proofErr w:type="gramEnd"/>
            <w:r w:rsidRPr="00E70F43">
              <w:rPr>
                <w:rFonts w:hint="eastAsia"/>
                <w:sz w:val="24"/>
                <w:szCs w:val="24"/>
              </w:rPr>
              <w:t>铦</w:t>
            </w:r>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副教授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天人相应，</w:t>
            </w:r>
            <w:r w:rsidRPr="00E70F43">
              <w:rPr>
                <w:sz w:val="24"/>
                <w:szCs w:val="24"/>
              </w:rPr>
              <w:t>中医学</w:t>
            </w:r>
            <w:r w:rsidRPr="00E70F43">
              <w:rPr>
                <w:rFonts w:hint="eastAsia"/>
                <w:sz w:val="24"/>
                <w:szCs w:val="24"/>
              </w:rPr>
              <w:t>导论</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长期从事中医骨伤科学、推拿学、各家学说，也曾从事中医内科学、正常人体解剖学的教学工作。秉承厦门大学医学院中医</w:t>
            </w:r>
            <w:proofErr w:type="gramStart"/>
            <w:r w:rsidRPr="00E70F43">
              <w:rPr>
                <w:rFonts w:hint="eastAsia"/>
                <w:color w:val="000000"/>
                <w:sz w:val="24"/>
                <w:szCs w:val="24"/>
              </w:rPr>
              <w:t>系独特</w:t>
            </w:r>
            <w:proofErr w:type="gramEnd"/>
            <w:r w:rsidRPr="00E70F43">
              <w:rPr>
                <w:rFonts w:hint="eastAsia"/>
                <w:color w:val="000000"/>
                <w:sz w:val="24"/>
                <w:szCs w:val="24"/>
              </w:rPr>
              <w:t>的传统——中医系教师应具有纯粹中医</w:t>
            </w:r>
            <w:r w:rsidRPr="00E70F43">
              <w:rPr>
                <w:rFonts w:hint="eastAsia"/>
                <w:color w:val="000000"/>
                <w:sz w:val="24"/>
                <w:szCs w:val="24"/>
              </w:rPr>
              <w:lastRenderedPageBreak/>
              <w:t>临床诊疗技能，个人因此具备</w:t>
            </w:r>
            <w:r w:rsidRPr="00E70F43">
              <w:rPr>
                <w:rFonts w:hint="eastAsia"/>
                <w:color w:val="000000"/>
                <w:sz w:val="24"/>
                <w:szCs w:val="24"/>
              </w:rPr>
              <w:t>30</w:t>
            </w:r>
            <w:r w:rsidRPr="00E70F43">
              <w:rPr>
                <w:rFonts w:hint="eastAsia"/>
                <w:color w:val="000000"/>
                <w:sz w:val="24"/>
                <w:szCs w:val="24"/>
              </w:rPr>
              <w:t>年的中医临床技能和临床教学经验。</w:t>
            </w:r>
          </w:p>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治学严谨，医术精湛。因善治各种疑难杂病，而获多方好评。</w:t>
            </w:r>
          </w:p>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至今已在中医学权威刊物《中医杂志》、《中华中医药杂志》，骨</w:t>
            </w:r>
            <w:proofErr w:type="gramStart"/>
            <w:r w:rsidRPr="00E70F43">
              <w:rPr>
                <w:rFonts w:hint="eastAsia"/>
                <w:color w:val="000000"/>
                <w:sz w:val="24"/>
                <w:szCs w:val="24"/>
              </w:rPr>
              <w:t>伤科学</w:t>
            </w:r>
            <w:proofErr w:type="gramEnd"/>
            <w:r w:rsidRPr="00E70F43">
              <w:rPr>
                <w:rFonts w:hint="eastAsia"/>
                <w:color w:val="000000"/>
                <w:sz w:val="24"/>
                <w:szCs w:val="24"/>
              </w:rPr>
              <w:t>权威刊物《中国中医骨伤科杂志》发表论文</w:t>
            </w:r>
            <w:r w:rsidRPr="00E70F43">
              <w:rPr>
                <w:rFonts w:hint="eastAsia"/>
                <w:color w:val="000000"/>
                <w:sz w:val="24"/>
                <w:szCs w:val="24"/>
              </w:rPr>
              <w:t>9</w:t>
            </w:r>
            <w:r w:rsidRPr="00E70F43">
              <w:rPr>
                <w:rFonts w:hint="eastAsia"/>
                <w:color w:val="000000"/>
                <w:sz w:val="24"/>
                <w:szCs w:val="24"/>
              </w:rPr>
              <w:t>篇，并在其它类中医学刊</w:t>
            </w:r>
            <w:proofErr w:type="gramStart"/>
            <w:r w:rsidRPr="00E70F43">
              <w:rPr>
                <w:rFonts w:hint="eastAsia"/>
                <w:color w:val="000000"/>
                <w:sz w:val="24"/>
                <w:szCs w:val="24"/>
              </w:rPr>
              <w:t>物发表</w:t>
            </w:r>
            <w:proofErr w:type="gramEnd"/>
            <w:r w:rsidRPr="00E70F43">
              <w:rPr>
                <w:rFonts w:hint="eastAsia"/>
                <w:color w:val="000000"/>
                <w:sz w:val="24"/>
                <w:szCs w:val="24"/>
              </w:rPr>
              <w:t>论文</w:t>
            </w:r>
            <w:r w:rsidRPr="00E70F43">
              <w:rPr>
                <w:rFonts w:hint="eastAsia"/>
                <w:color w:val="000000"/>
                <w:sz w:val="24"/>
                <w:szCs w:val="24"/>
              </w:rPr>
              <w:t>20</w:t>
            </w:r>
            <w:r w:rsidRPr="00E70F43">
              <w:rPr>
                <w:rFonts w:hint="eastAsia"/>
                <w:color w:val="000000"/>
                <w:sz w:val="24"/>
                <w:szCs w:val="24"/>
              </w:rPr>
              <w:t>篇，涉及骨伤科生物力学、中医中药治疗骨伤科疑难病证、中医基础理论的辨证论治思维模式领域。现已获厦门市科技局</w:t>
            </w:r>
            <w:r w:rsidRPr="00E70F43">
              <w:rPr>
                <w:rFonts w:hint="eastAsia"/>
                <w:color w:val="000000"/>
                <w:sz w:val="24"/>
                <w:szCs w:val="24"/>
              </w:rPr>
              <w:t>10</w:t>
            </w:r>
            <w:r w:rsidRPr="00E70F43">
              <w:rPr>
                <w:rFonts w:hint="eastAsia"/>
                <w:color w:val="000000"/>
                <w:sz w:val="24"/>
                <w:szCs w:val="24"/>
              </w:rPr>
              <w:t>万元的经费资助，进行足球</w:t>
            </w:r>
            <w:proofErr w:type="gramStart"/>
            <w:r w:rsidRPr="00E70F43">
              <w:rPr>
                <w:rFonts w:hint="eastAsia"/>
                <w:color w:val="000000"/>
                <w:sz w:val="24"/>
                <w:szCs w:val="24"/>
              </w:rPr>
              <w:t>踝</w:t>
            </w:r>
            <w:proofErr w:type="gramEnd"/>
            <w:r w:rsidRPr="00E70F43">
              <w:rPr>
                <w:rFonts w:hint="eastAsia"/>
                <w:color w:val="000000"/>
                <w:sz w:val="24"/>
                <w:szCs w:val="24"/>
              </w:rPr>
              <w:t>生物力学发生机制方面的研究。</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lastRenderedPageBreak/>
              <w:t>5</w:t>
            </w:r>
          </w:p>
        </w:tc>
        <w:tc>
          <w:tcPr>
            <w:tcW w:w="1276"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赵育芳</w:t>
            </w:r>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副教授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养生三件事</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致力于中医药诊治儿科呼吸系统疾病及内科消化系统疾病的基础与临床研究。主持和参与各级科研课题</w:t>
            </w:r>
            <w:r w:rsidRPr="00E70F43">
              <w:rPr>
                <w:color w:val="000000"/>
                <w:sz w:val="24"/>
                <w:szCs w:val="24"/>
              </w:rPr>
              <w:t>7</w:t>
            </w:r>
            <w:r w:rsidRPr="00E70F43">
              <w:rPr>
                <w:rFonts w:hint="eastAsia"/>
                <w:color w:val="000000"/>
                <w:sz w:val="24"/>
                <w:szCs w:val="24"/>
              </w:rPr>
              <w:t>项，发表学术论文</w:t>
            </w:r>
            <w:r w:rsidRPr="00E70F43">
              <w:rPr>
                <w:color w:val="000000"/>
                <w:sz w:val="24"/>
                <w:szCs w:val="24"/>
              </w:rPr>
              <w:t>10</w:t>
            </w:r>
            <w:r w:rsidRPr="00E70F43">
              <w:rPr>
                <w:rFonts w:hint="eastAsia"/>
                <w:color w:val="000000"/>
                <w:sz w:val="24"/>
                <w:szCs w:val="24"/>
              </w:rPr>
              <w:t>余篇，出版著作与译著</w:t>
            </w:r>
            <w:r w:rsidRPr="00E70F43">
              <w:rPr>
                <w:color w:val="000000"/>
                <w:sz w:val="24"/>
                <w:szCs w:val="24"/>
              </w:rPr>
              <w:t>2</w:t>
            </w:r>
            <w:r w:rsidRPr="00E70F43">
              <w:rPr>
                <w:rFonts w:hint="eastAsia"/>
                <w:color w:val="000000"/>
                <w:sz w:val="24"/>
                <w:szCs w:val="24"/>
              </w:rPr>
              <w:t>部。</w:t>
            </w:r>
          </w:p>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临床专于诊治儿科常见病、多发病以及内科肺系、脾系病证，临</w:t>
            </w:r>
            <w:proofErr w:type="gramStart"/>
            <w:r w:rsidRPr="00E70F43">
              <w:rPr>
                <w:rFonts w:hint="eastAsia"/>
                <w:color w:val="000000"/>
                <w:sz w:val="24"/>
                <w:szCs w:val="24"/>
              </w:rPr>
              <w:t>证尤其</w:t>
            </w:r>
            <w:proofErr w:type="gramEnd"/>
            <w:r w:rsidRPr="00E70F43">
              <w:rPr>
                <w:rFonts w:hint="eastAsia"/>
                <w:color w:val="000000"/>
                <w:sz w:val="24"/>
                <w:szCs w:val="24"/>
              </w:rPr>
              <w:t>擅长运用中医药调治儿科咳嗽、哮喘、反复呼吸道感染、厌食、腹泻、便秘和内科慢性胃炎、慢性结肠炎、消化不良、反流性食管炎等病证以及人体亚健康状态。</w:t>
            </w:r>
          </w:p>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教学擅长中医英语教学，多次赴境外大学讲学，开设中医课程。</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6</w:t>
            </w:r>
          </w:p>
        </w:tc>
        <w:tc>
          <w:tcPr>
            <w:tcW w:w="1276"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周然</w:t>
            </w:r>
            <w:proofErr w:type="gramStart"/>
            <w:r w:rsidRPr="00E70F43">
              <w:rPr>
                <w:rFonts w:hint="eastAsia"/>
                <w:sz w:val="24"/>
                <w:szCs w:val="24"/>
              </w:rPr>
              <w:t>宓</w:t>
            </w:r>
            <w:proofErr w:type="gramEnd"/>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神针神在何处</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从进化论解读医学。提出了如下独特观点：阑尾的作用是为了储存粪便，从而维持菌群平衡；扁桃体是先天免疫接种器官；动脉粥样</w:t>
            </w:r>
            <w:proofErr w:type="gramStart"/>
            <w:r w:rsidRPr="00E70F43">
              <w:rPr>
                <w:rFonts w:hint="eastAsia"/>
                <w:color w:val="000000"/>
                <w:sz w:val="24"/>
                <w:szCs w:val="24"/>
              </w:rPr>
              <w:t>癍</w:t>
            </w:r>
            <w:proofErr w:type="gramEnd"/>
            <w:r w:rsidRPr="00E70F43">
              <w:rPr>
                <w:rFonts w:hint="eastAsia"/>
                <w:color w:val="000000"/>
                <w:sz w:val="24"/>
                <w:szCs w:val="24"/>
              </w:rPr>
              <w:t>块是调整血流的重要组织；疲劳后血压升高对脑和心脏都具有重要的保护作用。特别是从</w:t>
            </w:r>
            <w:r w:rsidRPr="00E70F43">
              <w:rPr>
                <w:color w:val="000000"/>
                <w:sz w:val="24"/>
                <w:szCs w:val="24"/>
              </w:rPr>
              <w:t>GPS</w:t>
            </w:r>
            <w:r w:rsidRPr="00E70F43">
              <w:rPr>
                <w:rFonts w:hint="eastAsia"/>
                <w:color w:val="000000"/>
                <w:sz w:val="24"/>
                <w:szCs w:val="24"/>
              </w:rPr>
              <w:t>对人体经络提出新的假设，认为人体当中存在着比</w:t>
            </w:r>
            <w:r w:rsidRPr="00E70F43">
              <w:rPr>
                <w:color w:val="000000"/>
                <w:sz w:val="24"/>
                <w:szCs w:val="24"/>
              </w:rPr>
              <w:t>GPS</w:t>
            </w:r>
            <w:r w:rsidRPr="00E70F43">
              <w:rPr>
                <w:rFonts w:hint="eastAsia"/>
                <w:color w:val="000000"/>
                <w:sz w:val="24"/>
                <w:szCs w:val="24"/>
              </w:rPr>
              <w:t>更为复杂的定位及其制控系统。神经系统为了最有效发挥感觉、运动作用，其细胞的轴突末梢和突触末梢理应按一定的几何结构排列，而这种几何结构就是感觉和运动细胞的轴突末梢、突触末梢相对集中在经络上，从而使经络上感觉和运动细胞的轴突末梢、突触末梢的间距小于其他部位，这一</w:t>
            </w:r>
            <w:r w:rsidRPr="00E70F43">
              <w:rPr>
                <w:color w:val="000000"/>
                <w:sz w:val="24"/>
                <w:szCs w:val="24"/>
              </w:rPr>
              <w:t>“</w:t>
            </w:r>
            <w:r w:rsidRPr="00E70F43">
              <w:rPr>
                <w:rFonts w:hint="eastAsia"/>
                <w:color w:val="000000"/>
                <w:sz w:val="24"/>
                <w:szCs w:val="24"/>
              </w:rPr>
              <w:t>小间距</w:t>
            </w:r>
            <w:r w:rsidRPr="00E70F43">
              <w:rPr>
                <w:color w:val="000000"/>
                <w:sz w:val="24"/>
                <w:szCs w:val="24"/>
              </w:rPr>
              <w:t>”</w:t>
            </w:r>
            <w:r w:rsidRPr="00E70F43">
              <w:rPr>
                <w:rFonts w:hint="eastAsia"/>
                <w:color w:val="000000"/>
                <w:sz w:val="24"/>
                <w:szCs w:val="24"/>
              </w:rPr>
              <w:t>为经络上针灸时，引起传入神经、传出神经中枢之间不断反馈、交互兴奋奠定了基础，从而出现循经感传现象（经络）。</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7</w:t>
            </w:r>
          </w:p>
        </w:tc>
        <w:tc>
          <w:tcPr>
            <w:tcW w:w="1276"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奚胜艳</w:t>
            </w:r>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副教授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认识中药</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color w:val="000000"/>
                <w:sz w:val="24"/>
                <w:szCs w:val="24"/>
              </w:rPr>
              <w:t>主要研究领域为中药基本理论及临床应用，包括中药单方、经方及验方防治消化内</w:t>
            </w:r>
            <w:r w:rsidRPr="00E70F43">
              <w:rPr>
                <w:color w:val="000000"/>
                <w:sz w:val="24"/>
                <w:szCs w:val="24"/>
              </w:rPr>
              <w:lastRenderedPageBreak/>
              <w:t>科疾患及常见肿瘤的物质基础及作用机理研究；名老中医诊疗经验总结与传承；其他中医内科常见疾病的诊断与治疗机理研究等。</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lastRenderedPageBreak/>
              <w:t>8</w:t>
            </w:r>
          </w:p>
        </w:tc>
        <w:tc>
          <w:tcPr>
            <w:tcW w:w="1276"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朱红梅</w:t>
            </w:r>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女性更年期的中医保健</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研究方向：经方治疗疑难杂症的研究</w:t>
            </w:r>
          </w:p>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研究领域：中医诊断学、伤寒学、中医妇科学。</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9</w:t>
            </w:r>
          </w:p>
        </w:tc>
        <w:tc>
          <w:tcPr>
            <w:tcW w:w="1276"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王彦晖</w:t>
            </w:r>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理解中医的关键角度</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中医学教授，现任厦门大学医学院副院长，兼任教育部中医药教学指导委员会委员、福建省中医药学会理事、厦门市中医药学会副会长。</w:t>
            </w:r>
          </w:p>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1983</w:t>
            </w:r>
            <w:r w:rsidRPr="00E70F43">
              <w:rPr>
                <w:rFonts w:hint="eastAsia"/>
                <w:color w:val="000000"/>
                <w:sz w:val="24"/>
                <w:szCs w:val="24"/>
              </w:rPr>
              <w:t>年迄今，任职于厦门大学医学院，从事《中医诊断学》、《中医温病学》等教学、科研及临床工作，致力于舌诊学、湿病学、肿瘤学的基础与临床研究。曾主持福建省自然科学基金</w:t>
            </w:r>
            <w:r w:rsidRPr="00E70F43">
              <w:rPr>
                <w:rFonts w:hint="eastAsia"/>
                <w:color w:val="000000"/>
                <w:sz w:val="24"/>
                <w:szCs w:val="24"/>
              </w:rPr>
              <w:t>1</w:t>
            </w:r>
            <w:r w:rsidRPr="00E70F43">
              <w:rPr>
                <w:rFonts w:hint="eastAsia"/>
                <w:color w:val="000000"/>
                <w:sz w:val="24"/>
                <w:szCs w:val="24"/>
              </w:rPr>
              <w:t>项、厦门市科技计划项目</w:t>
            </w:r>
            <w:r w:rsidRPr="00E70F43">
              <w:rPr>
                <w:rFonts w:hint="eastAsia"/>
                <w:color w:val="000000"/>
                <w:sz w:val="24"/>
                <w:szCs w:val="24"/>
              </w:rPr>
              <w:t>1</w:t>
            </w:r>
            <w:r w:rsidRPr="00E70F43">
              <w:rPr>
                <w:rFonts w:hint="eastAsia"/>
                <w:color w:val="000000"/>
                <w:sz w:val="24"/>
                <w:szCs w:val="24"/>
              </w:rPr>
              <w:t>项，于</w:t>
            </w:r>
            <w:r w:rsidRPr="00E70F43">
              <w:rPr>
                <w:rFonts w:hint="eastAsia"/>
                <w:color w:val="000000"/>
                <w:sz w:val="24"/>
                <w:szCs w:val="24"/>
              </w:rPr>
              <w:t>2004</w:t>
            </w:r>
            <w:r w:rsidRPr="00E70F43">
              <w:rPr>
                <w:rFonts w:hint="eastAsia"/>
                <w:color w:val="000000"/>
                <w:sz w:val="24"/>
                <w:szCs w:val="24"/>
              </w:rPr>
              <w:t>年、</w:t>
            </w:r>
            <w:r w:rsidRPr="00E70F43">
              <w:rPr>
                <w:rFonts w:hint="eastAsia"/>
                <w:color w:val="000000"/>
                <w:sz w:val="24"/>
                <w:szCs w:val="24"/>
              </w:rPr>
              <w:t>2009</w:t>
            </w:r>
            <w:r w:rsidRPr="00E70F43">
              <w:rPr>
                <w:rFonts w:hint="eastAsia"/>
                <w:color w:val="000000"/>
                <w:sz w:val="24"/>
                <w:szCs w:val="24"/>
              </w:rPr>
              <w:t>年</w:t>
            </w:r>
            <w:proofErr w:type="gramStart"/>
            <w:r w:rsidRPr="00E70F43">
              <w:rPr>
                <w:rFonts w:hint="eastAsia"/>
                <w:color w:val="000000"/>
                <w:sz w:val="24"/>
                <w:szCs w:val="24"/>
              </w:rPr>
              <w:t>两获得</w:t>
            </w:r>
            <w:proofErr w:type="gramEnd"/>
            <w:r w:rsidRPr="00E70F43">
              <w:rPr>
                <w:rFonts w:hint="eastAsia"/>
                <w:color w:val="000000"/>
                <w:sz w:val="24"/>
                <w:szCs w:val="24"/>
              </w:rPr>
              <w:t>厦门市科技进步奖三等奖。撰写教材著作</w:t>
            </w:r>
            <w:r w:rsidRPr="00E70F43">
              <w:rPr>
                <w:rFonts w:hint="eastAsia"/>
                <w:color w:val="000000"/>
                <w:sz w:val="24"/>
                <w:szCs w:val="24"/>
              </w:rPr>
              <w:t>6</w:t>
            </w:r>
            <w:r w:rsidRPr="00E70F43">
              <w:rPr>
                <w:rFonts w:hint="eastAsia"/>
                <w:color w:val="000000"/>
                <w:sz w:val="24"/>
                <w:szCs w:val="24"/>
              </w:rPr>
              <w:t>部，在国内外核心刊物发表论文二十余篇。</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10</w:t>
            </w:r>
          </w:p>
        </w:tc>
        <w:tc>
          <w:tcPr>
            <w:tcW w:w="1276" w:type="dxa"/>
            <w:shd w:val="clear" w:color="auto" w:fill="auto"/>
            <w:vAlign w:val="center"/>
          </w:tcPr>
          <w:p w:rsidR="00B522BA" w:rsidRPr="00E70F43" w:rsidRDefault="00B522BA" w:rsidP="00B81A51">
            <w:pPr>
              <w:jc w:val="center"/>
              <w:rPr>
                <w:sz w:val="24"/>
                <w:szCs w:val="24"/>
              </w:rPr>
            </w:pPr>
            <w:proofErr w:type="gramStart"/>
            <w:r w:rsidRPr="00E70F43">
              <w:rPr>
                <w:rFonts w:hint="eastAsia"/>
                <w:sz w:val="24"/>
                <w:szCs w:val="24"/>
              </w:rPr>
              <w:t>钱林超</w:t>
            </w:r>
            <w:proofErr w:type="gramEnd"/>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中医常用养生法</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color w:val="000000"/>
                <w:sz w:val="24"/>
                <w:szCs w:val="24"/>
              </w:rPr>
              <w:t>主要承担《中医基础理论》、《中医儿科学》、《中医耳鼻咽喉科学》等教学工作，在临床中崇尚《伤寒论》方的现代临床应用，善用经方治疗各种外感、内伤杂病，特别是对脾胃病、心血管及耳鼻咽</w:t>
            </w:r>
            <w:proofErr w:type="gramStart"/>
            <w:r w:rsidRPr="00E70F43">
              <w:rPr>
                <w:color w:val="000000"/>
                <w:sz w:val="24"/>
                <w:szCs w:val="24"/>
              </w:rPr>
              <w:t>喉</w:t>
            </w:r>
            <w:proofErr w:type="gramEnd"/>
            <w:r w:rsidRPr="00E70F43">
              <w:rPr>
                <w:color w:val="000000"/>
                <w:sz w:val="24"/>
                <w:szCs w:val="24"/>
              </w:rPr>
              <w:t>疾病的治疗，积累了一定的临床经验。工作以来主要致力于五</w:t>
            </w:r>
            <w:proofErr w:type="gramStart"/>
            <w:r w:rsidRPr="00E70F43">
              <w:rPr>
                <w:color w:val="000000"/>
                <w:sz w:val="24"/>
                <w:szCs w:val="24"/>
              </w:rPr>
              <w:t>苓散抗</w:t>
            </w:r>
            <w:proofErr w:type="gramEnd"/>
            <w:r w:rsidRPr="00E70F43">
              <w:rPr>
                <w:color w:val="000000"/>
                <w:sz w:val="24"/>
                <w:szCs w:val="24"/>
              </w:rPr>
              <w:t>高血压的临床和实验研究，以及饮邪的致病机理研究，在国内核心期刊发表论文二十余篇。参编医著三部，主持课题研究三项。多次赴香港公开大学、泰国庄甲盛</w:t>
            </w:r>
            <w:proofErr w:type="gramStart"/>
            <w:r w:rsidRPr="00E70F43">
              <w:rPr>
                <w:color w:val="000000"/>
                <w:sz w:val="24"/>
                <w:szCs w:val="24"/>
              </w:rPr>
              <w:t>叻</w:t>
            </w:r>
            <w:proofErr w:type="gramEnd"/>
            <w:r w:rsidRPr="00E70F43">
              <w:rPr>
                <w:color w:val="000000"/>
                <w:sz w:val="24"/>
                <w:szCs w:val="24"/>
              </w:rPr>
              <w:t>察帕大学、马来西亚槟城中医研究学院、香港中医中药促进会、印度尼西亚哈撒努丁大学进行讲学及学术交流。</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11</w:t>
            </w:r>
          </w:p>
        </w:tc>
        <w:tc>
          <w:tcPr>
            <w:tcW w:w="1276"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文</w:t>
            </w:r>
            <w:proofErr w:type="gramStart"/>
            <w:r w:rsidRPr="00E70F43">
              <w:rPr>
                <w:rFonts w:hint="eastAsia"/>
                <w:sz w:val="24"/>
                <w:szCs w:val="24"/>
              </w:rPr>
              <w:t>磊</w:t>
            </w:r>
            <w:proofErr w:type="gramEnd"/>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人参、</w:t>
            </w:r>
            <w:r w:rsidRPr="00E70F43">
              <w:rPr>
                <w:sz w:val="24"/>
                <w:szCs w:val="24"/>
              </w:rPr>
              <w:t>西洋参</w:t>
            </w:r>
            <w:r w:rsidRPr="00E70F43">
              <w:rPr>
                <w:rFonts w:hint="eastAsia"/>
                <w:sz w:val="24"/>
                <w:szCs w:val="24"/>
              </w:rPr>
              <w:t>、三七的合理使用</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主要采用</w:t>
            </w:r>
            <w:proofErr w:type="gramStart"/>
            <w:r w:rsidRPr="00E70F43">
              <w:rPr>
                <w:rFonts w:hint="eastAsia"/>
                <w:color w:val="000000"/>
                <w:sz w:val="24"/>
                <w:szCs w:val="24"/>
              </w:rPr>
              <w:t>膜片钳等电生理</w:t>
            </w:r>
            <w:proofErr w:type="gramEnd"/>
            <w:r w:rsidRPr="00E70F43">
              <w:rPr>
                <w:rFonts w:hint="eastAsia"/>
                <w:color w:val="000000"/>
                <w:sz w:val="24"/>
                <w:szCs w:val="24"/>
              </w:rPr>
              <w:t>技术，以及细胞及分子生物学技术、形态学、行为学等研究手段，开展阿尔茨海默病</w:t>
            </w:r>
            <w:r w:rsidRPr="00E70F43">
              <w:rPr>
                <w:rFonts w:hint="eastAsia"/>
                <w:color w:val="000000"/>
                <w:sz w:val="24"/>
                <w:szCs w:val="24"/>
              </w:rPr>
              <w:t>(</w:t>
            </w:r>
            <w:r w:rsidRPr="00E70F43">
              <w:rPr>
                <w:rFonts w:hint="eastAsia"/>
                <w:color w:val="000000"/>
                <w:sz w:val="24"/>
                <w:szCs w:val="24"/>
              </w:rPr>
              <w:t>老年痴呆症</w:t>
            </w:r>
            <w:r w:rsidRPr="00E70F43">
              <w:rPr>
                <w:rFonts w:hint="eastAsia"/>
                <w:color w:val="000000"/>
                <w:sz w:val="24"/>
                <w:szCs w:val="24"/>
              </w:rPr>
              <w:t>)</w:t>
            </w:r>
            <w:r w:rsidRPr="00E70F43">
              <w:rPr>
                <w:rFonts w:hint="eastAsia"/>
                <w:color w:val="000000"/>
                <w:sz w:val="24"/>
                <w:szCs w:val="24"/>
              </w:rPr>
              <w:t>、帕金森症等神经退行性疾病、癫痫、抑郁症、药物成瘾、疼痛等神经精神系统疾病的发病机制研究，以及中药药效物质基础及作用机制研究等。</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12</w:t>
            </w:r>
          </w:p>
        </w:tc>
        <w:tc>
          <w:tcPr>
            <w:tcW w:w="1276"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钱小燕</w:t>
            </w:r>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中医美容</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从事中医针灸教学和临床工作，主要承担《针灸学》、《中医基础理论》、《中医美容</w:t>
            </w:r>
            <w:r w:rsidRPr="00E70F43">
              <w:rPr>
                <w:rFonts w:hint="eastAsia"/>
                <w:color w:val="000000"/>
                <w:sz w:val="24"/>
                <w:szCs w:val="24"/>
              </w:rPr>
              <w:lastRenderedPageBreak/>
              <w:t>学》等课程及中医国际交流合作工作。主要研究方向为中医针灸基础与临床。在《中医杂志》、《中国针灸》等国家、省级杂志发表论文三十余篇，两次获得厦门市科协优秀论文奖。合作编著《经络辨证》等书，获厦门市科技进步三等奖。入选国家中医药管理局中医药国际合作交流专家库。多次出访美国、加拿大、马来西亚、泰国、印尼、挪威、南非等地讲学、临床。多次担任全球孔子学院中、外方院长研修班讲座嘉宾。</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lastRenderedPageBreak/>
              <w:t>13</w:t>
            </w:r>
          </w:p>
        </w:tc>
        <w:tc>
          <w:tcPr>
            <w:tcW w:w="1276"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孟宪军</w:t>
            </w:r>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副教授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小儿保健推拿</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软组织损伤是指各种急性外伤或慢性劳损以及自己疾病病理等原因造成人体的皮肤、皮下浅深筋膜、肌肉、肌腱、腱鞘、韧带、关节囊、滑膜囊、椎间盘、周围神经血管等组织的病理损害，称为软组织损伤。临床表现：疼痛，肿胀，畸形，功能障碍。</w:t>
            </w:r>
            <w:proofErr w:type="gramStart"/>
            <w:r w:rsidRPr="00E70F43">
              <w:rPr>
                <w:rFonts w:hint="eastAsia"/>
                <w:color w:val="000000"/>
                <w:sz w:val="24"/>
                <w:szCs w:val="24"/>
              </w:rPr>
              <w:t>针推疗法</w:t>
            </w:r>
            <w:proofErr w:type="gramEnd"/>
            <w:r w:rsidRPr="00E70F43">
              <w:rPr>
                <w:rFonts w:hint="eastAsia"/>
                <w:color w:val="000000"/>
                <w:sz w:val="24"/>
                <w:szCs w:val="24"/>
              </w:rPr>
              <w:t>在临床治疗软组织损伤有见效快，无副作用等优势。</w:t>
            </w:r>
          </w:p>
        </w:tc>
      </w:tr>
      <w:tr w:rsidR="00B522BA" w:rsidRPr="00E70F43" w:rsidTr="00B81A51">
        <w:tc>
          <w:tcPr>
            <w:tcW w:w="880"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14</w:t>
            </w:r>
          </w:p>
        </w:tc>
        <w:tc>
          <w:tcPr>
            <w:tcW w:w="1276"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吕崇山</w:t>
            </w:r>
          </w:p>
        </w:tc>
        <w:tc>
          <w:tcPr>
            <w:tcW w:w="1134" w:type="dxa"/>
            <w:shd w:val="clear" w:color="auto" w:fill="auto"/>
            <w:vAlign w:val="center"/>
          </w:tcPr>
          <w:p w:rsidR="00B522BA" w:rsidRPr="00E70F43" w:rsidRDefault="00B522BA" w:rsidP="00B81A51">
            <w:pPr>
              <w:jc w:val="center"/>
              <w:rPr>
                <w:sz w:val="24"/>
                <w:szCs w:val="24"/>
              </w:rPr>
            </w:pPr>
            <w:r w:rsidRPr="00E70F43">
              <w:rPr>
                <w:rFonts w:hint="eastAsia"/>
                <w:sz w:val="24"/>
                <w:szCs w:val="24"/>
              </w:rPr>
              <w:t>副教授</w:t>
            </w:r>
          </w:p>
        </w:tc>
        <w:tc>
          <w:tcPr>
            <w:tcW w:w="2098" w:type="dxa"/>
            <w:shd w:val="clear" w:color="auto" w:fill="auto"/>
            <w:vAlign w:val="center"/>
          </w:tcPr>
          <w:p w:rsidR="00B522BA" w:rsidRPr="00E70F43" w:rsidRDefault="00B522BA" w:rsidP="00B81A51">
            <w:pPr>
              <w:jc w:val="left"/>
              <w:rPr>
                <w:sz w:val="24"/>
                <w:szCs w:val="24"/>
              </w:rPr>
            </w:pPr>
            <w:r w:rsidRPr="00E70F43">
              <w:rPr>
                <w:rFonts w:hint="eastAsia"/>
                <w:sz w:val="24"/>
                <w:szCs w:val="24"/>
              </w:rPr>
              <w:t>现代文明病的形成和防治</w:t>
            </w:r>
          </w:p>
        </w:tc>
        <w:tc>
          <w:tcPr>
            <w:tcW w:w="9355" w:type="dxa"/>
            <w:shd w:val="clear" w:color="auto" w:fill="auto"/>
            <w:vAlign w:val="center"/>
          </w:tcPr>
          <w:p w:rsidR="00B522BA" w:rsidRPr="00E70F43" w:rsidRDefault="00B522BA" w:rsidP="00B81A51">
            <w:pPr>
              <w:spacing w:beforeLines="50" w:before="156"/>
              <w:ind w:firstLineChars="200" w:firstLine="480"/>
              <w:rPr>
                <w:color w:val="000000"/>
                <w:sz w:val="24"/>
                <w:szCs w:val="24"/>
              </w:rPr>
            </w:pPr>
            <w:r w:rsidRPr="00E70F43">
              <w:rPr>
                <w:rFonts w:hint="eastAsia"/>
                <w:color w:val="000000"/>
                <w:sz w:val="24"/>
                <w:szCs w:val="24"/>
              </w:rPr>
              <w:t>采用现代医学、分子生物学、系统生物学及信息技术等方法研究心脑血管疾病如冠心病、中风等的证</w:t>
            </w:r>
            <w:proofErr w:type="gramStart"/>
            <w:r w:rsidRPr="00E70F43">
              <w:rPr>
                <w:rFonts w:hint="eastAsia"/>
                <w:color w:val="000000"/>
                <w:sz w:val="24"/>
                <w:szCs w:val="24"/>
              </w:rPr>
              <w:t>候物质</w:t>
            </w:r>
            <w:proofErr w:type="gramEnd"/>
            <w:r w:rsidRPr="00E70F43">
              <w:rPr>
                <w:rFonts w:hint="eastAsia"/>
                <w:color w:val="000000"/>
                <w:sz w:val="24"/>
                <w:szCs w:val="24"/>
              </w:rPr>
              <w:t>基础、方剂疗效作用机制等。</w:t>
            </w:r>
          </w:p>
        </w:tc>
      </w:tr>
    </w:tbl>
    <w:p w:rsidR="00B522BA" w:rsidRDefault="00B522BA" w:rsidP="00B522BA"/>
    <w:p w:rsidR="00B522BA" w:rsidRPr="00E70F43" w:rsidRDefault="00B522BA" w:rsidP="00B522BA">
      <w:pPr>
        <w:spacing w:line="480" w:lineRule="auto"/>
        <w:jc w:val="right"/>
        <w:rPr>
          <w:sz w:val="24"/>
          <w:szCs w:val="24"/>
        </w:rPr>
      </w:pPr>
    </w:p>
    <w:p w:rsidR="00DA030D" w:rsidRPr="00B522BA" w:rsidRDefault="00DA030D"/>
    <w:sectPr w:rsidR="00DA030D" w:rsidRPr="00B522BA" w:rsidSect="00B522B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Mongolian Baiti">
    <w:altName w:val="Arial Unicode MS"/>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BA"/>
    <w:rsid w:val="001C49AB"/>
    <w:rsid w:val="00B522BA"/>
    <w:rsid w:val="00DA0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B522BA"/>
    <w:pPr>
      <w:spacing w:before="240" w:after="60" w:line="312" w:lineRule="auto"/>
      <w:jc w:val="center"/>
      <w:outlineLvl w:val="1"/>
    </w:pPr>
    <w:rPr>
      <w:rFonts w:ascii="Calibri Light" w:eastAsia="宋体" w:hAnsi="Calibri Light" w:cs="Mongolian Baiti"/>
      <w:b/>
      <w:bCs/>
      <w:kern w:val="28"/>
      <w:sz w:val="32"/>
      <w:szCs w:val="32"/>
    </w:rPr>
  </w:style>
  <w:style w:type="character" w:customStyle="1" w:styleId="Char">
    <w:name w:val="副标题 Char"/>
    <w:basedOn w:val="a0"/>
    <w:link w:val="a3"/>
    <w:uiPriority w:val="11"/>
    <w:rsid w:val="00B522BA"/>
    <w:rPr>
      <w:rFonts w:ascii="Calibri Light" w:eastAsia="宋体" w:hAnsi="Calibri Light" w:cs="Mongolian Bait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B522BA"/>
    <w:pPr>
      <w:spacing w:before="240" w:after="60" w:line="312" w:lineRule="auto"/>
      <w:jc w:val="center"/>
      <w:outlineLvl w:val="1"/>
    </w:pPr>
    <w:rPr>
      <w:rFonts w:ascii="Calibri Light" w:eastAsia="宋体" w:hAnsi="Calibri Light" w:cs="Mongolian Baiti"/>
      <w:b/>
      <w:bCs/>
      <w:kern w:val="28"/>
      <w:sz w:val="32"/>
      <w:szCs w:val="32"/>
    </w:rPr>
  </w:style>
  <w:style w:type="character" w:customStyle="1" w:styleId="Char">
    <w:name w:val="副标题 Char"/>
    <w:basedOn w:val="a0"/>
    <w:link w:val="a3"/>
    <w:uiPriority w:val="11"/>
    <w:rsid w:val="00B522BA"/>
    <w:rPr>
      <w:rFonts w:ascii="Calibri Light" w:eastAsia="宋体" w:hAnsi="Calibri Light" w:cs="Mongolian Bait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2016-05-20T02:09:00Z</dcterms:created>
  <dcterms:modified xsi:type="dcterms:W3CDTF">2016-05-20T02:10:00Z</dcterms:modified>
</cp:coreProperties>
</file>